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A" w:rsidRDefault="003A0DAB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справка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итогам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первое полугодие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года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25.12.2019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-145 </w:t>
      </w:r>
      <w:r>
        <w:rPr>
          <w:rFonts w:hAnsi="Times New Roman" w:cs="Times New Roman"/>
          <w:color w:val="000000"/>
          <w:sz w:val="24"/>
          <w:szCs w:val="24"/>
        </w:rPr>
        <w:t>«Об 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методологии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23.01.2020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-42/02 </w:t>
      </w:r>
      <w:r>
        <w:rPr>
          <w:rFonts w:hAnsi="Times New Roman" w:cs="Times New Roman"/>
          <w:color w:val="000000"/>
          <w:sz w:val="24"/>
          <w:szCs w:val="24"/>
        </w:rPr>
        <w:t>«О 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</w:t>
      </w:r>
      <w:r>
        <w:rPr>
          <w:rFonts w:hAnsi="Times New Roman" w:cs="Times New Roman"/>
          <w:color w:val="000000"/>
          <w:sz w:val="24"/>
          <w:szCs w:val="24"/>
        </w:rPr>
        <w:t>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27.01.2021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351 </w:t>
      </w:r>
      <w:r>
        <w:rPr>
          <w:rFonts w:hAnsi="Times New Roman" w:cs="Times New Roman"/>
          <w:color w:val="000000"/>
          <w:sz w:val="24"/>
          <w:szCs w:val="24"/>
        </w:rPr>
        <w:t>«Об 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методологии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27.12.2021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200 </w:t>
      </w:r>
      <w:r>
        <w:rPr>
          <w:rFonts w:hAnsi="Times New Roman" w:cs="Times New Roman"/>
          <w:color w:val="000000"/>
          <w:sz w:val="24"/>
          <w:szCs w:val="24"/>
        </w:rPr>
        <w:t>«О внедрении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личностного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компетентностного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01.01.2022.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оценивались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полезность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технологиям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полезности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 xml:space="preserve"> SWOT-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</w:t>
      </w:r>
      <w:r>
        <w:rPr>
          <w:rFonts w:hAnsi="Times New Roman" w:cs="Times New Roman"/>
          <w:color w:val="000000"/>
          <w:sz w:val="24"/>
          <w:szCs w:val="24"/>
        </w:rPr>
        <w:t>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SWOT-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внутренние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слабые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таблице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слабые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4"/>
        <w:gridCol w:w="3184"/>
        <w:gridCol w:w="4079"/>
      </w:tblGrid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70%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интересующей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60%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будущем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повысилась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25%.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подписались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прочитали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интересующей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30%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интересуются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40%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интересуются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готовы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куратором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(55%),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понравилось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улучшение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подшефных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родительским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Значительна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(45%),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понравилось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поэтому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готовы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Неэффективная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непроработанная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перегрузка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следствие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невозможность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наставляемыми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Студент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нескольким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интересующей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(40%)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(45%)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Значительна 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(60%),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Значительна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(35%),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понравилось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поэтому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готовы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организовано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куратором</w:t>
            </w:r>
          </w:p>
        </w:tc>
      </w:tr>
    </w:tbl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проанализированы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таблице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угрозы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ее реал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8"/>
        <w:gridCol w:w="3540"/>
        <w:gridCol w:w="3689"/>
      </w:tblGrid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стороны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департамента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Муниципалитет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заинтересованности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результатах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Агрессивная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оказывающая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негативное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влияние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стороны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департамента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бесплатных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малобюджетных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Акцентирование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квалифицированные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Миграционный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отток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региона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стороны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департамента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партнеров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Акцентирование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Нестабильность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внешней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заинтересованности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поддержке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школах</w:t>
            </w:r>
          </w:p>
        </w:tc>
      </w:tr>
    </w:tbl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проанализирована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полугодии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января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июль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таблицах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и </w:t>
      </w:r>
      <w:r>
        <w:rPr>
          <w:rFonts w:hAnsi="Times New Roman" w:cs="Times New Roman"/>
          <w:color w:val="000000"/>
          <w:sz w:val="24"/>
          <w:szCs w:val="24"/>
        </w:rPr>
        <w:t>4.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внедрения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 периодс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01.01.2022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30.06.2022.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0"/>
        <w:gridCol w:w="1718"/>
        <w:gridCol w:w="1609"/>
      </w:tblGrid>
      <w:tr w:rsidR="005633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Достигнутый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(%):</w:t>
            </w:r>
          </w:p>
          <w:p w:rsidR="005633BA" w:rsidRDefault="003A0DA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(%):</w:t>
            </w:r>
          </w:p>
          <w:p w:rsidR="005633BA" w:rsidRDefault="003A0DA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(%):</w:t>
            </w:r>
          </w:p>
          <w:p w:rsidR="005633BA" w:rsidRDefault="003A0DA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(%):</w:t>
            </w:r>
          </w:p>
          <w:p w:rsidR="005633BA" w:rsidRDefault="003A0DA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(%):</w:t>
            </w:r>
          </w:p>
          <w:p w:rsidR="005633BA" w:rsidRDefault="003A0DAB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</w:tbl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5633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полной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баллов</w:t>
            </w:r>
          </w:p>
        </w:tc>
      </w:tr>
      <w:tr w:rsidR="005633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задачам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заложенным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комфортного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 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правильность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заинтересованность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участии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  <w:tr w:rsidR="005633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наставника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 опыта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профессиональных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/>
        </w:tc>
      </w:tr>
    </w:tbl>
    <w:p w:rsidR="005633BA" w:rsidRDefault="003A0DA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баллов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>
        <w:rPr>
          <w:rFonts w:hAnsi="Times New Roman" w:cs="Times New Roman"/>
          <w:color w:val="000000"/>
          <w:sz w:val="24"/>
          <w:szCs w:val="24"/>
        </w:rPr>
        <w:t>баллов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баллов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недопустимый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 –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баллов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оптимальный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технологиям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</w:t>
      </w:r>
      <w:r>
        <w:rPr>
          <w:rFonts w:hAnsi="Times New Roman" w:cs="Times New Roman"/>
          <w:color w:val="000000"/>
          <w:sz w:val="24"/>
          <w:szCs w:val="24"/>
        </w:rPr>
        <w:t>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таблица</w:t>
      </w:r>
      <w:r>
        <w:rPr>
          <w:rFonts w:hAnsi="Times New Roman" w:cs="Times New Roman"/>
          <w:color w:val="000000"/>
          <w:sz w:val="24"/>
          <w:szCs w:val="24"/>
        </w:rPr>
        <w:t xml:space="preserve"> 5).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3"/>
        <w:gridCol w:w="1784"/>
        <w:gridCol w:w="1502"/>
        <w:gridCol w:w="1072"/>
        <w:gridCol w:w="1526"/>
      </w:tblGrid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 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(z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= x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процентах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(z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x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×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100)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учете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психоневрологических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диспансерах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жалоб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социальной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незащищенностью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конфликтами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специалиста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будущем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присоединиться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абитуриентов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охваченные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факультеты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практического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компетентностные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представленных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старших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наставником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150%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563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трудоустройство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региональных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</w:tbl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 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преобладают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слабыми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угрозами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В 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</w:t>
      </w:r>
      <w:r>
        <w:rPr>
          <w:rFonts w:hAnsi="Times New Roman" w:cs="Times New Roman"/>
          <w:color w:val="000000"/>
          <w:sz w:val="24"/>
          <w:szCs w:val="24"/>
        </w:rPr>
        <w:t>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именно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30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20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компетентностные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47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региональные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</w:t>
      </w:r>
      <w:r>
        <w:rPr>
          <w:rFonts w:hAnsi="Times New Roman" w:cs="Times New Roman"/>
          <w:color w:val="000000"/>
          <w:sz w:val="24"/>
          <w:szCs w:val="24"/>
        </w:rPr>
        <w:t>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75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будущем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присоединиться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сообществу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100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вузы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охваченные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рограммой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43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статей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25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влияния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участников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оценивались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личностный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мотивационных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участнико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подэтапа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входа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программе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12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снизился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9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снизился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педагогическом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итогам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»отвечает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25.12.2019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-145.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достигнутый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 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именно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30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20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</w:t>
      </w:r>
      <w:r>
        <w:rPr>
          <w:rFonts w:hAnsi="Times New Roman" w:cs="Times New Roman"/>
          <w:color w:val="000000"/>
          <w:sz w:val="24"/>
          <w:szCs w:val="24"/>
        </w:rPr>
        <w:t>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компетентностные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47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региональные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75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будущем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присоединиться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сообществу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100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вузы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охваченные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43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статей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25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Внедрение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вовлеченност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12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снизился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9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снизился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 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3BA" w:rsidRDefault="003A0DA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педагогическом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 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1657"/>
      </w:tblGrid>
      <w:tr w:rsidR="005633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56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3BA" w:rsidRDefault="003A0DA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 справкой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33BA" w:rsidRDefault="003A0D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 w:rsidR="005633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C7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D1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73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04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24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46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11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53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C7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B3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C3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C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D28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0DAB"/>
    <w:rsid w:val="004F7E17"/>
    <w:rsid w:val="005633BA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dc:description>Подготовлено экспертами Актион-МЦФЭР</dc:description>
  <cp:lastModifiedBy>школа</cp:lastModifiedBy>
  <cp:revision>2</cp:revision>
  <dcterms:created xsi:type="dcterms:W3CDTF">2023-03-10T13:14:00Z</dcterms:created>
  <dcterms:modified xsi:type="dcterms:W3CDTF">2023-03-10T13:14:00Z</dcterms:modified>
</cp:coreProperties>
</file>